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E48" w:rsidRDefault="007F6E48" w:rsidP="000920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ACTAS DE DIRECTORIO/CONSEJO RELEVANTES</w:t>
      </w:r>
    </w:p>
    <w:p w:rsidR="0009208B" w:rsidRPr="007F6E48" w:rsidRDefault="0009208B" w:rsidP="000920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7F6E48" w:rsidRPr="007F6E48" w:rsidRDefault="007F6E48" w:rsidP="007F6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Resumen de Actas de Junta Directiva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Período: Enero - Abril 2024</w:t>
      </w:r>
    </w:p>
    <w:p w:rsidR="007F6E48" w:rsidRPr="007F6E48" w:rsidRDefault="007F6E48" w:rsidP="007F6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B-5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10/05/2024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11/05/2024</w:t>
      </w:r>
    </w:p>
    <w:p w:rsidR="007F6E48" w:rsidRPr="007F6E48" w:rsidRDefault="007F6E48" w:rsidP="007F6E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ACTAS REVISADAS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9"/>
        <w:gridCol w:w="1174"/>
        <w:gridCol w:w="1447"/>
        <w:gridCol w:w="4894"/>
      </w:tblGrid>
      <w:tr w:rsidR="007F6E48" w:rsidRPr="007F6E48" w:rsidTr="0004690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No. Acta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Participantes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Temas Principales</w:t>
            </w:r>
          </w:p>
        </w:tc>
      </w:tr>
      <w:tr w:rsidR="007F6E48" w:rsidRPr="007F6E48" w:rsidTr="000469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156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15/01/2024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5/5 Directores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Presupuesto 2024, Plan estratégico</w:t>
            </w:r>
          </w:p>
        </w:tc>
      </w:tr>
      <w:tr w:rsidR="007F6E48" w:rsidRPr="007F6E48" w:rsidTr="000469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157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12/02/2024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4/5 Directores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Informe financiero, Nuevas inversiones</w:t>
            </w:r>
          </w:p>
        </w:tc>
      </w:tr>
      <w:tr w:rsidR="007F6E48" w:rsidRPr="007F6E48" w:rsidTr="000469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158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18/03/2024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5/5 Directores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Auditoría externa 2023, Distribución utilidades</w:t>
            </w:r>
          </w:p>
        </w:tc>
      </w:tr>
      <w:tr w:rsidR="007F6E48" w:rsidRPr="007F6E48" w:rsidTr="000469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159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22/04/2024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5/5 Directores</w:t>
            </w:r>
          </w:p>
        </w:tc>
        <w:tc>
          <w:tcPr>
            <w:tcW w:w="0" w:type="auto"/>
            <w:vAlign w:val="center"/>
            <w:hideMark/>
          </w:tcPr>
          <w:p w:rsidR="007F6E48" w:rsidRPr="007F6E48" w:rsidRDefault="007F6E48" w:rsidP="007F6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7F6E48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Cambios organizacionales, Políticas actualización</w:t>
            </w:r>
          </w:p>
        </w:tc>
      </w:tr>
    </w:tbl>
    <w:p w:rsidR="007F6E48" w:rsidRPr="007F6E48" w:rsidRDefault="007F6E48" w:rsidP="007F6E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ACUERDOS RELEVANTES PARA LA AUDITORÍA</w:t>
      </w:r>
    </w:p>
    <w:p w:rsidR="007F6E48" w:rsidRPr="007F6E48" w:rsidRDefault="007F6E48" w:rsidP="007F6E4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ACTA 156 - 15/01/2024</w:t>
      </w:r>
      <w:bookmarkStart w:id="0" w:name="_GoBack"/>
      <w:bookmarkEnd w:id="0"/>
    </w:p>
    <w:p w:rsidR="007F6E48" w:rsidRPr="007F6E48" w:rsidRDefault="007F6E48" w:rsidP="007F6E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Aprobación Presupuesto 2024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F6E48" w:rsidRPr="007F6E48" w:rsidRDefault="007F6E48" w:rsidP="007F6E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Ingresos proyectados: Q52 millones</w:t>
      </w:r>
    </w:p>
    <w:p w:rsidR="007F6E48" w:rsidRPr="007F6E48" w:rsidRDefault="007F6E48" w:rsidP="007F6E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Inversiones CAPEX: Q8 millones</w:t>
      </w:r>
    </w:p>
    <w:p w:rsidR="007F6E48" w:rsidRPr="007F6E48" w:rsidRDefault="007F6E48" w:rsidP="007F6E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Autorización compra maquinaria: Q3.5 millones</w:t>
      </w:r>
    </w:p>
    <w:p w:rsidR="007F6E48" w:rsidRPr="007F6E48" w:rsidRDefault="007F6E48" w:rsidP="007F6E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Política de Conflicto de Interés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F6E48" w:rsidRPr="007F6E48" w:rsidRDefault="007F6E48" w:rsidP="007F6E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Aprobada nueva política (Acuerdo 156-2024-01)</w:t>
      </w:r>
    </w:p>
    <w:p w:rsidR="007F6E48" w:rsidRPr="007F6E48" w:rsidRDefault="007F6E48" w:rsidP="007F6E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Implementación obligatoria desde febrero 2024</w:t>
      </w:r>
    </w:p>
    <w:p w:rsidR="007F6E48" w:rsidRPr="007F6E48" w:rsidRDefault="007F6E48" w:rsidP="007F6E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Declaraciones juradas anuales para directivos</w:t>
      </w:r>
    </w:p>
    <w:p w:rsidR="007F6E48" w:rsidRPr="007F6E48" w:rsidRDefault="007F6E48" w:rsidP="007F6E4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ACTA 157 - 12/02/2024</w:t>
      </w:r>
    </w:p>
    <w:p w:rsidR="007F6E48" w:rsidRPr="007F6E48" w:rsidRDefault="007F6E48" w:rsidP="007F6E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Autorización de Inversiones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F6E48" w:rsidRPr="007F6E48" w:rsidRDefault="007F6E48" w:rsidP="007F6E4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Ampliación Planta 2: Q2.8 millones</w:t>
      </w:r>
    </w:p>
    <w:p w:rsidR="007F6E48" w:rsidRPr="007F6E48" w:rsidRDefault="007F6E48" w:rsidP="007F6E4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Sistema ERP </w:t>
      </w:r>
      <w:proofErr w:type="spellStart"/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upgrade</w:t>
      </w:r>
      <w:proofErr w:type="spellEnd"/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: Q450,000</w:t>
      </w:r>
    </w:p>
    <w:p w:rsidR="007F6E48" w:rsidRPr="007F6E48" w:rsidRDefault="007F6E48" w:rsidP="007F6E4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Requiere 3 cotizaciones para montos &gt;Q100,000</w:t>
      </w:r>
    </w:p>
    <w:p w:rsidR="007F6E48" w:rsidRPr="007F6E48" w:rsidRDefault="007F6E48" w:rsidP="007F6E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Comité de Auditoría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F6E48" w:rsidRPr="007F6E48" w:rsidRDefault="007F6E48" w:rsidP="007F6E4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Creación aprobada (Acuerdo 157-2024-03)</w:t>
      </w:r>
    </w:p>
    <w:p w:rsidR="007F6E48" w:rsidRPr="007F6E48" w:rsidRDefault="007F6E48" w:rsidP="007F6E4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Designación pendiente de miembros</w:t>
      </w:r>
    </w:p>
    <w:p w:rsidR="007F6E48" w:rsidRPr="007F6E48" w:rsidRDefault="007F6E48" w:rsidP="007F6E4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lastRenderedPageBreak/>
        <w:t>Presupuesto anual: Q180,000</w:t>
      </w:r>
    </w:p>
    <w:p w:rsidR="007F6E48" w:rsidRPr="007F6E48" w:rsidRDefault="007F6E48" w:rsidP="007F6E4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ACTA 158 - 18/03/2024</w:t>
      </w:r>
    </w:p>
    <w:p w:rsidR="007F6E48" w:rsidRPr="007F6E48" w:rsidRDefault="007F6E48" w:rsidP="007F6E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Estados Financieros 2023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F6E48" w:rsidRPr="007F6E48" w:rsidRDefault="007F6E48" w:rsidP="007F6E4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Aprobados con opinión limpia</w:t>
      </w:r>
    </w:p>
    <w:p w:rsidR="007F6E48" w:rsidRPr="007F6E48" w:rsidRDefault="007F6E48" w:rsidP="007F6E4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Utilidad neta: Q6.8 millones</w:t>
      </w:r>
    </w:p>
    <w:p w:rsidR="007F6E48" w:rsidRPr="007F6E48" w:rsidRDefault="007F6E48" w:rsidP="007F6E4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ROE: 15.2%</w:t>
      </w:r>
    </w:p>
    <w:p w:rsidR="007F6E48" w:rsidRPr="007F6E48" w:rsidRDefault="007F6E48" w:rsidP="007F6E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Distribución de Utilidades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F6E48" w:rsidRPr="007F6E48" w:rsidRDefault="007F6E48" w:rsidP="007F6E4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Dividendos 40%: Q2.72 millones</w:t>
      </w:r>
    </w:p>
    <w:p w:rsidR="007F6E48" w:rsidRPr="007F6E48" w:rsidRDefault="007F6E48" w:rsidP="007F6E4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Reserva legal 5%: Q340,000</w:t>
      </w:r>
    </w:p>
    <w:p w:rsidR="007F6E48" w:rsidRPr="007F6E48" w:rsidRDefault="007F6E48" w:rsidP="007F6E4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Reinversión 55%: Q3.74 millones</w:t>
      </w:r>
    </w:p>
    <w:p w:rsidR="007F6E48" w:rsidRPr="007F6E48" w:rsidRDefault="007F6E48" w:rsidP="007F6E4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ACTA 159 - 22/04/2024</w:t>
      </w:r>
    </w:p>
    <w:p w:rsidR="007F6E48" w:rsidRPr="007F6E48" w:rsidRDefault="007F6E48" w:rsidP="007F6E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Actualización de Políticas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F6E48" w:rsidRPr="007F6E48" w:rsidRDefault="007F6E48" w:rsidP="007F6E4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Manual de procedimientos de compras</w:t>
      </w:r>
    </w:p>
    <w:p w:rsidR="007F6E48" w:rsidRPr="007F6E48" w:rsidRDefault="007F6E48" w:rsidP="007F6E4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Política de gestión de riesgos</w:t>
      </w:r>
    </w:p>
    <w:p w:rsidR="007F6E48" w:rsidRPr="007F6E48" w:rsidRDefault="007F6E48" w:rsidP="007F6E4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Código de ética revisado</w:t>
      </w:r>
    </w:p>
    <w:p w:rsidR="007F6E48" w:rsidRPr="007F6E48" w:rsidRDefault="007F6E48" w:rsidP="007F6E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Nombramiento Auditoría Interna</w:t>
      </w: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7F6E48" w:rsidRPr="007F6E48" w:rsidRDefault="007F6E48" w:rsidP="007F6E4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Búsqueda de candidatos autorizada</w:t>
      </w:r>
    </w:p>
    <w:p w:rsidR="007F6E48" w:rsidRPr="007F6E48" w:rsidRDefault="007F6E48" w:rsidP="007F6E4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Presupuesto posición: Q30,000 mensual</w:t>
      </w:r>
    </w:p>
    <w:p w:rsidR="007F6E48" w:rsidRPr="007F6E48" w:rsidRDefault="007F6E48" w:rsidP="007F6E4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Perfil: CPA con 5 años experiencia</w:t>
      </w:r>
    </w:p>
    <w:p w:rsidR="007F6E48" w:rsidRPr="007F6E48" w:rsidRDefault="007F6E48" w:rsidP="007F6E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7F6E48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TEMAS PENDIENTES DE SEGUIMIENTO:</w:t>
      </w:r>
    </w:p>
    <w:p w:rsidR="007F6E48" w:rsidRPr="007F6E48" w:rsidRDefault="007F6E48" w:rsidP="007F6E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Nombramiento de miembros del Comité de Auditoría</w:t>
      </w:r>
    </w:p>
    <w:p w:rsidR="007F6E48" w:rsidRPr="007F6E48" w:rsidRDefault="007F6E48" w:rsidP="007F6E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Contratación de Auditor Interno</w:t>
      </w:r>
    </w:p>
    <w:p w:rsidR="007F6E48" w:rsidRPr="007F6E48" w:rsidRDefault="007F6E48" w:rsidP="007F6E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Implementación completa de política de conflicto de interés</w:t>
      </w:r>
    </w:p>
    <w:p w:rsidR="007F6E48" w:rsidRPr="007F6E48" w:rsidRDefault="007F6E48" w:rsidP="007F6E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F6E48">
        <w:rPr>
          <w:rFonts w:ascii="Times New Roman" w:eastAsia="Times New Roman" w:hAnsi="Times New Roman" w:cs="Times New Roman"/>
          <w:sz w:val="24"/>
          <w:szCs w:val="24"/>
          <w:lang w:eastAsia="es-GT"/>
        </w:rPr>
        <w:t>Evaluación de riesgos corporativos</w:t>
      </w:r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E178B"/>
    <w:multiLevelType w:val="multilevel"/>
    <w:tmpl w:val="D786A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9C77F7"/>
    <w:multiLevelType w:val="multilevel"/>
    <w:tmpl w:val="06FC3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FE7977"/>
    <w:multiLevelType w:val="multilevel"/>
    <w:tmpl w:val="53F2C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A63F5A"/>
    <w:multiLevelType w:val="multilevel"/>
    <w:tmpl w:val="38B62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BE45E7"/>
    <w:multiLevelType w:val="multilevel"/>
    <w:tmpl w:val="D2B27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8"/>
    <w:rsid w:val="00046900"/>
    <w:rsid w:val="0009208B"/>
    <w:rsid w:val="0054135A"/>
    <w:rsid w:val="007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3515E"/>
  <w15:chartTrackingRefBased/>
  <w15:docId w15:val="{A1F044D9-3FE7-4F47-B5C5-A5D07E98B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F6E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7F6E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Ttulo4">
    <w:name w:val="heading 4"/>
    <w:basedOn w:val="Normal"/>
    <w:link w:val="Ttulo4Car"/>
    <w:uiPriority w:val="9"/>
    <w:qFormat/>
    <w:rsid w:val="007F6E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F6E48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7F6E48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customStyle="1" w:styleId="Ttulo4Car">
    <w:name w:val="Título 4 Car"/>
    <w:basedOn w:val="Fuentedeprrafopredeter"/>
    <w:link w:val="Ttulo4"/>
    <w:uiPriority w:val="9"/>
    <w:rsid w:val="007F6E48"/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paragraph" w:customStyle="1" w:styleId="whitespace-pre-wrap">
    <w:name w:val="whitespace-pre-wrap"/>
    <w:basedOn w:val="Normal"/>
    <w:rsid w:val="007F6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7F6E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6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3</cp:revision>
  <dcterms:created xsi:type="dcterms:W3CDTF">2025-05-03T16:55:00Z</dcterms:created>
  <dcterms:modified xsi:type="dcterms:W3CDTF">2025-05-09T18:54:00Z</dcterms:modified>
</cp:coreProperties>
</file>